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                                 </w:t>
      </w:r>
      <w:r>
        <w:rPr>
          <w:sz w:val="24"/>
          <w:szCs w:val="24"/>
        </w:rPr>
        <w:t>R2-</w:t>
      </w:r>
      <w:r>
        <w:rPr>
          <w:rFonts w:hint="eastAsia"/>
          <w:sz w:val="24"/>
          <w:szCs w:val="24"/>
        </w:rPr>
        <w:t>221</w:t>
      </w:r>
      <w:r>
        <w:rPr>
          <w:rFonts w:hint="eastAsia" w:eastAsia="宋体"/>
          <w:sz w:val="24"/>
          <w:szCs w:val="24"/>
          <w:lang w:val="en-US" w:eastAsia="zh-CN"/>
        </w:rPr>
        <w:t xml:space="preserve">2956 </w:t>
      </w:r>
      <w:r>
        <w:rPr>
          <w:rFonts w:hint="eastAsia" w:eastAsia="宋体"/>
          <w:b w:val="0"/>
          <w:bCs/>
          <w:sz w:val="21"/>
          <w:szCs w:val="21"/>
          <w:lang w:val="en-US" w:eastAsia="zh-CN"/>
        </w:rPr>
        <w:t>revision of R2-2211813</w:t>
      </w:r>
    </w:p>
    <w:p>
      <w:pPr>
        <w:pStyle w:val="33"/>
        <w:tabs>
          <w:tab w:val="left" w:pos="1701"/>
          <w:tab w:val="right" w:pos="9923"/>
        </w:tabs>
        <w:rPr>
          <w:rFonts w:hint="default" w:ascii="Arial" w:hAnsi="Arial" w:cs="Arial"/>
          <w:b/>
          <w:bCs/>
          <w:color w:val="000000"/>
          <w:sz w:val="24"/>
          <w:szCs w:val="24"/>
          <w:lang w:val="en-US" w:eastAsia="zh-CN"/>
        </w:rPr>
      </w:pPr>
      <w:r>
        <w:rPr>
          <w:sz w:val="24"/>
          <w:szCs w:val="24"/>
        </w:rPr>
        <w:t xml:space="preserve">Toulouse, France, </w:t>
      </w:r>
      <w:r>
        <w:rPr>
          <w:rFonts w:hint="default" w:ascii="Arial" w:hAnsi="Arial" w:cs="Arial"/>
          <w:b/>
          <w:bCs/>
          <w:color w:val="000000"/>
          <w:sz w:val="24"/>
          <w:szCs w:val="24"/>
        </w:rPr>
        <w:t>1</w:t>
      </w:r>
      <w:r>
        <w:rPr>
          <w:rFonts w:hint="eastAsia" w:ascii="Arial" w:hAnsi="Arial" w:cs="Arial"/>
          <w:b/>
          <w:bCs/>
          <w:color w:val="000000"/>
          <w:sz w:val="24"/>
          <w:szCs w:val="24"/>
          <w:lang w:val="en-US" w:eastAsia="zh-CN"/>
        </w:rPr>
        <w:t>4</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sz w:val="24"/>
          <w:szCs w:val="24"/>
        </w:rPr>
        <w:t>November, 2022</w:t>
      </w:r>
      <w:bookmarkStart w:id="3" w:name="_GoBack"/>
      <w:bookmarkEnd w:id="3"/>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topology adaptation in mobile IAB scenario</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 meeting, the inter-donor migration of the mobile IAB node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pPr>
            <w:r>
              <w:t xml:space="preserve">RAN2 assumes that O1 and O3 above could work, and FFS if O2 above (new trigger etc) is needed. </w:t>
            </w:r>
          </w:p>
          <w:p>
            <w:pPr>
              <w:pStyle w:val="108"/>
              <w:numPr>
                <w:ilvl w:val="0"/>
                <w:numId w:val="0"/>
              </w:numPr>
              <w:ind w:left="1259" w:leftChars="0"/>
            </w:pPr>
          </w:p>
          <w:p>
            <w:pPr>
              <w:pStyle w:val="108"/>
            </w:pPr>
            <w:r>
              <w:t xml:space="preserve">RAN2 focuses on the scenario where, during full migration, the UE sees the </w:t>
            </w:r>
            <w:r>
              <w:rPr>
                <w:rFonts w:cstheme="minorHAns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p>
          <w:p>
            <w:pPr>
              <w:pStyle w:val="108"/>
              <w:rPr>
                <w:rFonts w:hint="eastAsia"/>
                <w:vertAlign w:val="baseline"/>
                <w:lang w:val="en-US" w:eastAsia="zh-CN"/>
              </w:rPr>
            </w:pPr>
            <w:r>
              <w:t>No LS is needed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discuss the inter-donor migration of mobile IAB node and mitigation of interference and the potential RAN2 impact. </w:t>
      </w:r>
    </w:p>
    <w:p>
      <w:pPr>
        <w:pStyle w:val="2"/>
        <w:jc w:val="both"/>
        <w:rPr>
          <w:lang w:eastAsia="zh-CN"/>
        </w:rPr>
      </w:pPr>
      <w:r>
        <w:rPr>
          <w:rFonts w:hint="eastAsia" w:eastAsia="宋体"/>
          <w:lang w:eastAsia="zh-CN"/>
        </w:rPr>
        <w:t>Discussion</w:t>
      </w:r>
    </w:p>
    <w:p>
      <w:pPr>
        <w:pStyle w:val="3"/>
        <w:bidi w:val="0"/>
        <w:rPr>
          <w:rFonts w:hint="eastAsia"/>
          <w:lang w:val="en-US" w:eastAsia="zh-CN"/>
        </w:rPr>
      </w:pPr>
      <w:r>
        <w:rPr>
          <w:rFonts w:hint="eastAsia"/>
          <w:lang w:val="en-US" w:eastAsia="zh-CN"/>
        </w:rPr>
        <w:t>Inter-donor migration of the mobile IAB node</w:t>
      </w:r>
    </w:p>
    <w:p>
      <w:pPr>
        <w:bidi w:val="0"/>
        <w:jc w:val="both"/>
        <w:rPr>
          <w:rFonts w:hint="eastAsia"/>
          <w:lang w:val="en-US" w:eastAsia="zh-CN"/>
        </w:rPr>
      </w:pPr>
      <w:r>
        <w:rPr>
          <w:rFonts w:hint="eastAsia"/>
          <w:lang w:val="en-US" w:eastAsia="zh-CN"/>
        </w:rPr>
        <w:t>In R18, two types of migration procedure needs to be supported for IAB node, i.e. partial migration and full migration. So it should be discussed how to determine the migration type of mobile IAB node. As agreed in RAN3#117bis meeting, t</w:t>
      </w:r>
      <w:r>
        <w:t>he donor CU serving the mIAB-DU decides whether to execute mIAB-DU migration or inter-donor F1 transport migration for the mIAB-DU.</w:t>
      </w:r>
      <w:r>
        <w:rPr>
          <w:rFonts w:hint="eastAsia"/>
          <w:lang w:val="en-US" w:eastAsia="zh-CN"/>
        </w:rPr>
        <w:t xml:space="preserve"> It implies that the donor CU serving the mobile IAB-DU (i.e. the F1-terminating donor) is responsible of the determination of the migration type. And it was agreed that </w:t>
      </w:r>
      <w:r>
        <w:t>the donor CU serving the mIAB-DU is informed about the mIAB-MT HO</w:t>
      </w:r>
      <w:r>
        <w:rPr>
          <w:rFonts w:hint="eastAsia"/>
          <w:lang w:val="en-US" w:eastAsia="zh-CN"/>
        </w:rPr>
        <w:t>. On the other hand, it was working assumption that the</w:t>
      </w:r>
      <w:r>
        <w:t xml:space="preserve"> source donor </w:t>
      </w:r>
      <w:r>
        <w:rPr>
          <w:rFonts w:hint="eastAsia"/>
          <w:lang w:val="en-US" w:eastAsia="zh-CN"/>
        </w:rPr>
        <w:t xml:space="preserve">CU for the mIAB-MT HO provides to the donor CU serving the mIAB-DU at least the gNB ID of the target donor CU and the IAB-MT ID.  </w:t>
      </w:r>
    </w:p>
    <w:p>
      <w:pPr>
        <w:jc w:val="both"/>
        <w:rPr>
          <w:rFonts w:hint="eastAsia" w:ascii="Times New Roman" w:hAnsi="Times New Roman" w:cs="Times New Roman"/>
          <w:lang w:val="en-US" w:eastAsia="zh-CN"/>
        </w:rPr>
      </w:pPr>
      <w:r>
        <w:rPr>
          <w:rFonts w:hint="eastAsia"/>
          <w:lang w:val="en-US" w:eastAsia="zh-CN"/>
        </w:rPr>
        <w:t xml:space="preserve">In our view, the source donor CU could send the IAB-MT HO related info (e.g. target cell info) to the F1-terminating donor after it determines the target cell of the MT handover based on the measurement report from the mobile IAB node. And then, the F1 terminating donor CU could determine whether partial migration or full migration is to be performed based on the IAB-MT HO related info, e.g., target cell info. On the other hand, the target donor needs to be aware whether partial migration or full migration is to be performed so that the target donor could allocate IP address for the mobile IAB node correctly. </w:t>
      </w:r>
      <w:r>
        <w:rPr>
          <w:rFonts w:hint="eastAsia" w:ascii="Times New Roman" w:hAnsi="Times New Roman" w:cs="Times New Roman"/>
          <w:lang w:val="en-US" w:eastAsia="zh-CN"/>
        </w:rPr>
        <w:t xml:space="preserve">An example full migration based on R17 partial migration is shown in figure 1. Before MT migration, F1 traffic between donor CU1 and IAB-DU is transferred via donor DU1. After MT migration and inter-donor migration transport procedure, F1 traffic between donor CU1 and mobile IAB-DU is transferred via donor DU2 through target path. And then DU/UE migration is performed, and F1-C/U connection is switched from donor CU1 to donor CU2. After DU/UE migration, F1 traffic between donor CU2 and IAB-DU is transferred through the target path via the donor DU2. </w:t>
      </w:r>
    </w:p>
    <w:p>
      <w:pPr>
        <w:jc w:val="center"/>
      </w:pPr>
      <w:r>
        <w:object>
          <v:shape id="_x0000_i1025" o:spt="75" type="#_x0000_t75" style="height:198.5pt;width:231.8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 xml:space="preserve">Figure 1  </w:t>
      </w:r>
      <w:r>
        <w:rPr>
          <w:rFonts w:hint="eastAsia" w:ascii="Times New Roman" w:hAnsi="Times New Roman" w:cs="Times New Roman"/>
          <w:lang w:val="en-US" w:eastAsia="zh-CN"/>
        </w:rPr>
        <w:t xml:space="preserve">inter-donor full migration procedure based on R17 partial migration </w:t>
      </w:r>
    </w:p>
    <w:p>
      <w:pPr>
        <w:bidi w:val="0"/>
        <w:jc w:val="both"/>
        <w:rPr>
          <w:rFonts w:hint="default"/>
          <w:lang w:val="en-US" w:eastAsia="zh-CN"/>
        </w:rPr>
      </w:pPr>
      <w:r>
        <w:rPr>
          <w:rFonts w:hint="eastAsia"/>
          <w:lang w:val="en-US" w:eastAsia="zh-CN"/>
        </w:rPr>
        <w:t xml:space="preserve">As we can see, if partial migration is to be executed, only one set of IP addresses needs to be allocated by the target donor; Otherwise, if full migration is to be executed, two sets of IP addresses may be needed to be allocated by the target donor, i.e. one for inter-topology traffic transfer between the source logical DU (i.e. DU1 in Figure 1) and the F1-terminating donor (i.e. Donor CU1 in Figure 1), and the other one for traffic transfer between the target logical DU (i.e. DU2 in Figure 1) and the target donor (i.e. Donor CU2 in Figure 1).  Alternatively, only one set of IPv6 prefix may be allocated by the target donor to the mobile IAB node. In this situation, the mobile IAB node needs to be informed of the migration type as well. And then the mobile IAB node can determine whether it need to generate another set of IPv6 addresses based on the assigned IPv6 prefix to setup F1 connection with the target donor. If partial migration is to be performed, the mobile IAB node can follow R17 inter-donor migration procedure. Otherwise, if full migration is to be performed, the mobile IAB node needs to generate another set of IPv6 addresses based on the assigned IPv6 prefix to perform DU migration after partial migration, i.e. establish SCTP/F1 connection with the target donor. In our view, the migration type could be indicated to the mobile IAB node by the target donor via the RRCreconfiguration message. </w:t>
      </w:r>
      <w:r>
        <w:rPr>
          <w:rFonts w:hint="eastAsia" w:ascii="Times New Roman" w:hAnsi="Times New Roman" w:eastAsia="宋体"/>
          <w:lang w:val="en-US" w:eastAsia="zh-CN"/>
        </w:rPr>
        <w:t xml:space="preserve">Figure </w:t>
      </w:r>
      <w:r>
        <w:rPr>
          <w:rFonts w:hint="eastAsia"/>
          <w:lang w:val="en-US" w:eastAsia="zh-CN"/>
        </w:rPr>
        <w:t>2</w:t>
      </w:r>
      <w:r>
        <w:rPr>
          <w:rFonts w:hint="eastAsia" w:ascii="Times New Roman" w:hAnsi="Times New Roman" w:eastAsia="宋体"/>
          <w:lang w:val="en-US" w:eastAsia="zh-CN"/>
        </w:rPr>
        <w:t xml:space="preserve"> shows an example of</w:t>
      </w:r>
      <w:r>
        <w:rPr>
          <w:rFonts w:hint="eastAsia" w:ascii="Times New Roman" w:hAnsi="Times New Roman" w:cs="Times New Roman"/>
          <w:lang w:val="en-US" w:eastAsia="zh-CN"/>
        </w:rPr>
        <w:t xml:space="preserve"> full</w:t>
      </w:r>
      <w:r>
        <w:rPr>
          <w:rFonts w:hint="eastAsia" w:ascii="Times New Roman" w:hAnsi="Times New Roman" w:eastAsia="宋体" w:cs="Times New Roman"/>
          <w:lang w:val="en-US" w:eastAsia="en-US"/>
        </w:rPr>
        <w:t xml:space="preserve"> migration</w:t>
      </w:r>
      <w:r>
        <w:rPr>
          <w:rFonts w:hint="eastAsia" w:ascii="Times New Roman" w:hAnsi="Times New Roman" w:cs="Times New Roman"/>
          <w:lang w:val="en-US" w:eastAsia="zh-CN"/>
        </w:rPr>
        <w:t xml:space="preserve"> procedure for the mobile IAB node based on R17 partial migration, where the F1-terminating donor and the source IAB donor of the IAB-MT HO are different IAB donors. </w:t>
      </w:r>
      <w:r>
        <w:rPr>
          <w:rFonts w:hint="eastAsia"/>
          <w:lang w:val="en-US" w:eastAsia="zh-CN"/>
        </w:rPr>
        <w:t xml:space="preserve"> </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6" o:spt="75" type="#_x0000_t75" style="height:311.05pt;width:481.8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jc w:val="center"/>
        <w:rPr>
          <w:rFonts w:hint="eastAsia"/>
          <w:lang w:val="en-US" w:eastAsia="zh-CN"/>
        </w:rPr>
      </w:pPr>
      <w:r>
        <w:rPr>
          <w:rFonts w:hint="eastAsia"/>
          <w:lang w:val="en-US" w:eastAsia="zh-CN"/>
        </w:rPr>
        <w:t>Figure 2. F</w:t>
      </w:r>
      <w:r>
        <w:rPr>
          <w:rFonts w:hint="default"/>
          <w:lang w:val="en-US" w:eastAsia="zh-CN"/>
        </w:rPr>
        <w:t xml:space="preserve">ull migration </w:t>
      </w:r>
      <w:r>
        <w:rPr>
          <w:rFonts w:hint="eastAsia"/>
          <w:lang w:val="en-US" w:eastAsia="zh-CN"/>
        </w:rPr>
        <w:t xml:space="preserve">procedure </w:t>
      </w:r>
      <w:r>
        <w:rPr>
          <w:rFonts w:hint="default"/>
          <w:lang w:val="en-US" w:eastAsia="zh-CN"/>
        </w:rPr>
        <w:t xml:space="preserve">based on </w:t>
      </w:r>
      <w:r>
        <w:rPr>
          <w:rFonts w:hint="eastAsia"/>
          <w:lang w:val="en-US" w:eastAsia="zh-CN"/>
        </w:rPr>
        <w:t xml:space="preserve">R17 </w:t>
      </w:r>
      <w:r>
        <w:rPr>
          <w:rFonts w:hint="default"/>
          <w:lang w:val="en-US" w:eastAsia="zh-CN"/>
        </w:rPr>
        <w:t>partial migration</w:t>
      </w:r>
    </w:p>
    <w:p>
      <w:pPr>
        <w:bidi w:val="0"/>
        <w:jc w:val="both"/>
        <w:rPr>
          <w:rFonts w:hint="default"/>
          <w:b/>
          <w:bCs/>
          <w:lang w:val="en-US" w:eastAsia="zh-CN"/>
        </w:rPr>
      </w:pPr>
      <w:r>
        <w:rPr>
          <w:rFonts w:hint="eastAsia"/>
          <w:b/>
          <w:bCs/>
          <w:lang w:val="en-US" w:eastAsia="zh-CN"/>
        </w:rPr>
        <w:t xml:space="preserve">Proposal 1: The mobile IAB node is informed whether partial migration or full migration is to be executed via RRCreconfiguration message. </w:t>
      </w:r>
    </w:p>
    <w:p>
      <w:pPr>
        <w:bidi w:val="0"/>
        <w:jc w:val="both"/>
        <w:rPr>
          <w:rFonts w:hint="default"/>
          <w:lang w:val="en-US" w:eastAsia="zh-CN"/>
        </w:rPr>
      </w:pPr>
      <w:r>
        <w:rPr>
          <w:rFonts w:hint="eastAsia"/>
          <w:lang w:val="en-US" w:eastAsia="zh-CN"/>
        </w:rPr>
        <w:t xml:space="preserve">On the other hand, during RAN2#119 meeting, it was agreed that </w:t>
      </w:r>
      <w:r>
        <w:t>R2 assumes that CHO or delayed RRC config could be the baseline for group mobility (FFS if could be applicable for mobility of IAB MT), i.e. with a preparation in advance (not immediately) of the execution.</w:t>
      </w:r>
      <w:r>
        <w:rPr>
          <w:rFonts w:hint="eastAsia"/>
          <w:lang w:val="en-US" w:eastAsia="zh-CN"/>
        </w:rPr>
        <w:t xml:space="preserve"> As we know, for CHO or delayed RRC configure, the HO command message for the UEs is transferred via the source path before MT migration. If we follow legacy UE handover procedure, the target CU needs to have F1 connection with the target DU before sending XnAP handover request ACK message to the source CU. In other words, F1 connection between the target logical DU and the target donor needs to be established before MT migration. That means DU migration is performed before MT migration. So it should be discussed how F1 connection between the target logical DU and the target donor can be established before MT migration. For example, F1-C related traffic could be transferred by IP routing via the source path, which is similar as the inter-donor transport in R17. Another potential solution is that the F1-C traffic is delivered via the source donor CU. However the discussion on this issue is mainly in RAN3 scope. And RAN3 has no conclusion on whether DU migration before MT migration is to be supported in R18 yet. So the scenario and benefit of supporting CHO or delayed RRC configuration needs to be clarified first. In our view, assume that DU migration performed MT migration is to be supported, the migration sequence (i.e. MT migration first or DU migration first) needs to be indicated to the mobile IAB-MT if full migration is to be executed. If MT migration needs to be performed first, the mobile IAB-MT shall follow R17 procedure and perform random access to target cell first. If DU migration needs to be performed first, the target logical DU in the mobile IAB node shall establish SCTP and F1 connection with the target donor CU. </w:t>
      </w:r>
    </w:p>
    <w:p>
      <w:pPr>
        <w:bidi w:val="0"/>
        <w:jc w:val="both"/>
        <w:rPr>
          <w:rFonts w:hint="eastAsia"/>
          <w:b/>
          <w:bCs/>
          <w:lang w:val="en-US" w:eastAsia="zh-CN"/>
        </w:rPr>
      </w:pPr>
      <w:r>
        <w:rPr>
          <w:rFonts w:hint="eastAsia"/>
          <w:b/>
          <w:bCs/>
          <w:lang w:val="en-US" w:eastAsia="zh-CN"/>
        </w:rPr>
        <w:t>Observation 1: For CHO or delayed RRC configure, F1 connection between the target logical DU and the target donor needs to be established before MT migration, i.e. DU migration is performed before MT migration.</w:t>
      </w:r>
    </w:p>
    <w:p>
      <w:pPr>
        <w:bidi w:val="0"/>
        <w:jc w:val="both"/>
        <w:rPr>
          <w:rFonts w:hint="default"/>
          <w:b/>
          <w:bCs/>
          <w:lang w:val="en-US" w:eastAsia="zh-CN"/>
        </w:rPr>
      </w:pPr>
      <w:r>
        <w:rPr>
          <w:rFonts w:hint="eastAsia"/>
          <w:b/>
          <w:bCs/>
          <w:lang w:val="en-US" w:eastAsia="zh-CN"/>
        </w:rPr>
        <w:t xml:space="preserve">Observation 2: RAN3 has no conclusion on whether DU migration before MT migration is to be supported in R18 yet. So the scenario and benefit of supporting CHO or delayed RRC configuration needs to be clarified first. </w:t>
      </w:r>
    </w:p>
    <w:p>
      <w:pPr>
        <w:bidi w:val="0"/>
        <w:jc w:val="both"/>
        <w:rPr>
          <w:rFonts w:hint="eastAsia"/>
          <w:b/>
          <w:bCs/>
          <w:lang w:val="en-US" w:eastAsia="zh-CN"/>
        </w:rPr>
      </w:pPr>
      <w:r>
        <w:rPr>
          <w:rFonts w:hint="eastAsia"/>
          <w:b/>
          <w:bCs/>
          <w:lang w:val="en-US" w:eastAsia="zh-CN"/>
        </w:rPr>
        <w:t xml:space="preserve">Proposal 2: If DU migration before MT migration is to be supported, the migration sequence (i.e. MT migration first or DU migration first) needs to be indicated to the mobile IAB-MT if full migration is to be executed. </w:t>
      </w:r>
    </w:p>
    <w:p>
      <w:pPr>
        <w:jc w:val="both"/>
        <w:rPr>
          <w:rFonts w:hint="default" w:eastAsia="宋体"/>
          <w:lang w:val="en-US" w:eastAsia="zh-CN"/>
        </w:rPr>
      </w:pPr>
      <w:r>
        <w:rPr>
          <w:rFonts w:hint="eastAsia"/>
          <w:lang w:val="en-US" w:eastAsia="zh-CN"/>
        </w:rPr>
        <w:t xml:space="preserve">The topic on the two logical DUs was discussed in RAN2#119bis meeting, and it was agreed that </w:t>
      </w:r>
      <w: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r>
        <w:rPr>
          <w:rFonts w:hint="eastAsia"/>
          <w:lang w:val="en-US" w:eastAsia="zh-CN"/>
        </w:rPr>
        <w:t xml:space="preserve"> In our view, assume that </w:t>
      </w:r>
      <w:r>
        <w:t>the UE sees the two logical DU cells as different physical cells</w:t>
      </w:r>
      <w:r>
        <w:rPr>
          <w:rFonts w:hint="eastAsia"/>
          <w:lang w:val="en-US" w:eastAsia="zh-CN"/>
        </w:rPr>
        <w:t xml:space="preserve">, if different carriers are used in the two logical DU cells, same or different PCIs could be used in the two logical DU cells. If the same carrier is used in the two logical DU cells, different PCIs shall be used in the two logical DU cells. Otherwise, the UE cannot be able to differentiate the </w:t>
      </w:r>
      <w:r>
        <w:t>two logical DU cells as different physical cells</w:t>
      </w:r>
      <w:r>
        <w:rPr>
          <w:rFonts w:hint="eastAsia"/>
          <w:lang w:val="en-US" w:eastAsia="zh-CN"/>
        </w:rPr>
        <w:t xml:space="preserve">. </w:t>
      </w:r>
    </w:p>
    <w:p>
      <w:pPr>
        <w:bidi w:val="0"/>
        <w:jc w:val="both"/>
        <w:rPr>
          <w:rFonts w:hint="default"/>
          <w:b/>
          <w:bCs/>
          <w:lang w:val="en-US" w:eastAsia="zh-CN"/>
        </w:rPr>
      </w:pPr>
      <w:r>
        <w:rPr>
          <w:rFonts w:hint="eastAsia"/>
          <w:b/>
          <w:bCs/>
          <w:lang w:val="en-US" w:eastAsia="zh-CN"/>
        </w:rPr>
        <w:t xml:space="preserve">Observation 3: If different carriers are used in the two logical DU cells, same or different PCIs could be used in the two logical DU cells. If the same carrier is used in the two logical DU cells, different PCIs shall be used in the two logical DU cells. </w:t>
      </w:r>
    </w:p>
    <w:p>
      <w:pPr>
        <w:pStyle w:val="3"/>
        <w:bidi w:val="0"/>
        <w:rPr>
          <w:rFonts w:hint="default"/>
          <w:lang w:val="en-US" w:eastAsia="zh-CN"/>
        </w:rPr>
      </w:pPr>
      <w:r>
        <w:t>Mitigation of interference</w:t>
      </w:r>
    </w:p>
    <w:p>
      <w:pPr>
        <w:pStyle w:val="4"/>
        <w:bidi w:val="0"/>
        <w:rPr>
          <w:rFonts w:hint="eastAsia"/>
          <w:lang w:val="en-US" w:eastAsia="zh-CN"/>
        </w:rPr>
      </w:pPr>
      <w:r>
        <w:rPr>
          <w:rFonts w:hint="eastAsia"/>
          <w:lang w:val="en-US" w:eastAsia="zh-CN"/>
        </w:rPr>
        <w:t>PCI configuration</w:t>
      </w:r>
    </w:p>
    <w:p>
      <w:pPr>
        <w:overflowPunct w:val="0"/>
        <w:autoSpaceDE w:val="0"/>
        <w:autoSpaceDN w:val="0"/>
        <w:adjustRightInd w:val="0"/>
        <w:spacing w:before="156" w:beforeLines="50"/>
        <w:jc w:val="both"/>
        <w:rPr>
          <w:rFonts w:hint="default" w:ascii="Times New Roman" w:hAnsi="Times New Roman" w:eastAsia="Batang" w:cs="Times New Roman"/>
          <w:highlight w:val="none"/>
          <w:lang w:val="en-US" w:eastAsia="zh-CN"/>
        </w:rPr>
      </w:pPr>
      <w:r>
        <w:rPr>
          <w:rFonts w:hint="eastAsia" w:ascii="Times New Roman" w:hAnsi="Times New Roman" w:eastAsia="Batang" w:cs="Times New Roman"/>
          <w:highlight w:val="none"/>
          <w:lang w:val="en-US" w:eastAsia="zh-CN"/>
        </w:rPr>
        <w:t xml:space="preserve">It has been agreed that </w:t>
      </w:r>
      <w:r>
        <w:rPr>
          <w:rFonts w:hint="default" w:ascii="Times New Roman" w:hAnsi="Times New Roman" w:eastAsia="Batang" w:cs="Times New Roman"/>
          <w:highlight w:val="none"/>
          <w:lang w:val="en-US" w:eastAsia="zh-CN"/>
        </w:rPr>
        <w:t xml:space="preserve">RAN2 may discuss whether there are issues with PCI partitioning that needs to/can be addressed (to be used in applicable scenario), if any found within R2 scope. </w:t>
      </w:r>
      <w:r>
        <w:rPr>
          <w:rFonts w:hint="eastAsia" w:ascii="Times New Roman" w:hAnsi="Times New Roman" w:eastAsia="Batang" w:cs="Times New Roman"/>
          <w:highlight w:val="none"/>
          <w:lang w:val="en-US" w:eastAsia="zh-CN"/>
        </w:rPr>
        <w:t>RAN2 m</w:t>
      </w:r>
      <w:r>
        <w:rPr>
          <w:rFonts w:hint="default" w:ascii="Times New Roman" w:hAnsi="Times New Roman" w:eastAsia="Batang" w:cs="Times New Roman"/>
          <w:highlight w:val="none"/>
          <w:lang w:val="en-US" w:eastAsia="zh-CN"/>
        </w:rPr>
        <w:t>ay discuss</w:t>
      </w:r>
      <w:r>
        <w:rPr>
          <w:rFonts w:hint="eastAsia" w:ascii="Times New Roman" w:hAnsi="Times New Roman" w:eastAsia="Batang" w:cs="Times New Roman"/>
          <w:highlight w:val="none"/>
          <w:lang w:val="en-US" w:eastAsia="zh-CN"/>
        </w:rPr>
        <w:t xml:space="preserve"> the</w:t>
      </w:r>
      <w:r>
        <w:rPr>
          <w:rFonts w:hint="default" w:ascii="Times New Roman" w:hAnsi="Times New Roman" w:eastAsia="Batang" w:cs="Times New Roman"/>
          <w:highlight w:val="none"/>
          <w:lang w:val="en-US" w:eastAsia="zh-CN"/>
        </w:rPr>
        <w:t xml:space="preserve"> need and feasibility from R2 point of view of a dynamic PCI change mechanis</w:t>
      </w:r>
      <w:r>
        <w:rPr>
          <w:rFonts w:hint="eastAsia" w:ascii="Times New Roman" w:hAnsi="Times New Roman" w:eastAsia="Batang" w:cs="Times New Roman"/>
          <w:highlight w:val="none"/>
          <w:lang w:val="en-US" w:eastAsia="zh-CN"/>
        </w:rPr>
        <w:t>m, m</w:t>
      </w:r>
      <w:r>
        <w:rPr>
          <w:rFonts w:hint="default" w:ascii="Times New Roman" w:hAnsi="Times New Roman" w:eastAsia="Batang" w:cs="Times New Roman"/>
          <w:highlight w:val="none"/>
          <w:lang w:val="en-US" w:eastAsia="zh-CN"/>
        </w:rPr>
        <w:t xml:space="preserve">ay also discuss whether enhancements to/vs current UE/MT reporting are useful/necessary to improve PCI collision detection. </w:t>
      </w:r>
    </w:p>
    <w:p>
      <w:pPr>
        <w:jc w:val="both"/>
        <w:rPr>
          <w:rFonts w:hint="eastAsia"/>
          <w:b w:val="0"/>
          <w:bCs w:val="0"/>
          <w:highlight w:val="none"/>
          <w:lang w:val="en-US" w:eastAsia="zh-CN"/>
        </w:rPr>
      </w:pPr>
      <w:r>
        <w:rPr>
          <w:rFonts w:hint="eastAsia"/>
          <w:lang w:val="en-US" w:eastAsia="zh-CN"/>
        </w:rPr>
        <w:t>On the other hand, RAN3 has agreed that</w:t>
      </w:r>
      <w:r>
        <w:rPr>
          <w:rFonts w:hint="eastAsia"/>
          <w:i w:val="0"/>
          <w:iCs w:val="0"/>
          <w:color w:val="auto"/>
          <w:lang w:val="en-US" w:eastAsia="zh-CN"/>
        </w:rPr>
        <w:t xml:space="preserve"> </w:t>
      </w:r>
      <w:r>
        <w:rPr>
          <w:rFonts w:eastAsia="MS Mincho" w:cs="Calibri"/>
          <w:i w:val="0"/>
          <w:iCs w:val="0"/>
          <w:color w:val="auto"/>
          <w:kern w:val="2"/>
          <w:sz w:val="20"/>
          <w:szCs w:val="20"/>
        </w:rPr>
        <w:t xml:space="preserve">PCI space partitioning </w:t>
      </w:r>
      <w:r>
        <w:rPr>
          <w:rFonts w:hint="eastAsia" w:eastAsia="宋体" w:cs="Calibri"/>
          <w:i w:val="0"/>
          <w:iCs w:val="0"/>
          <w:color w:val="auto"/>
          <w:kern w:val="2"/>
          <w:sz w:val="20"/>
          <w:szCs w:val="20"/>
          <w:lang w:val="en-US" w:eastAsia="zh-CN"/>
        </w:rPr>
        <w:t xml:space="preserve">can be performed by </w:t>
      </w:r>
      <w:r>
        <w:rPr>
          <w:rFonts w:eastAsia="MS Mincho" w:cs="Calibri"/>
          <w:i w:val="0"/>
          <w:iCs w:val="0"/>
          <w:color w:val="auto"/>
          <w:kern w:val="2"/>
          <w:sz w:val="20"/>
          <w:szCs w:val="20"/>
        </w:rPr>
        <w:t xml:space="preserve">OAM </w:t>
      </w:r>
      <w:r>
        <w:rPr>
          <w:rFonts w:hint="eastAsia" w:eastAsia="宋体" w:cs="Calibri"/>
          <w:i w:val="0"/>
          <w:iCs w:val="0"/>
          <w:color w:val="auto"/>
          <w:kern w:val="2"/>
          <w:sz w:val="20"/>
          <w:szCs w:val="20"/>
          <w:lang w:val="en-US" w:eastAsia="zh-CN"/>
        </w:rPr>
        <w:t xml:space="preserve">and up to implementation. </w:t>
      </w:r>
      <w:r>
        <w:rPr>
          <w:rFonts w:hint="eastAsia"/>
          <w:lang w:val="en-US" w:eastAsia="zh-CN"/>
        </w:rPr>
        <w:t xml:space="preserve">However, as pointed out by some companies, </w:t>
      </w:r>
      <w:r>
        <w:t>PCI partitioning to avoid PCI collision for mobile IAB</w:t>
      </w:r>
      <w:r>
        <w:rPr>
          <w:rFonts w:hint="eastAsia"/>
          <w:lang w:val="en-US" w:eastAsia="zh-CN"/>
        </w:rPr>
        <w:t xml:space="preserve"> may be not always</w:t>
      </w:r>
      <w:r>
        <w:t xml:space="preserve"> practical </w:t>
      </w:r>
      <w:r>
        <w:rPr>
          <w:rFonts w:hint="eastAsia"/>
          <w:lang w:val="en-US" w:eastAsia="zh-CN"/>
        </w:rPr>
        <w:t xml:space="preserve">since </w:t>
      </w:r>
      <w:r>
        <w:t xml:space="preserve">only 1008 PCI values </w:t>
      </w:r>
      <w:r>
        <w:rPr>
          <w:rFonts w:hint="eastAsia"/>
          <w:lang w:val="en-US" w:eastAsia="zh-CN"/>
        </w:rPr>
        <w:t xml:space="preserve">are </w:t>
      </w:r>
      <w:r>
        <w:t>available</w:t>
      </w:r>
      <w:r>
        <w:rPr>
          <w:rFonts w:hint="eastAsia"/>
          <w:lang w:val="en-US" w:eastAsia="zh-CN"/>
        </w:rPr>
        <w:t>. So it has been agreed in RAN3 tha</w:t>
      </w:r>
      <w:r>
        <w:rPr>
          <w:rFonts w:hint="default" w:ascii="Times New Roman" w:hAnsi="Times New Roman" w:cs="Times New Roman"/>
          <w:b w:val="0"/>
          <w:bCs w:val="0"/>
          <w:color w:val="auto"/>
          <w:sz w:val="20"/>
          <w:szCs w:val="20"/>
          <w:lang w:val="en-US" w:eastAsia="zh-CN"/>
        </w:rPr>
        <w:t xml:space="preserve">t </w:t>
      </w:r>
      <w:r>
        <w:rPr>
          <w:rFonts w:hint="default" w:ascii="Times New Roman" w:hAnsi="Times New Roman" w:cs="Times New Roman"/>
          <w:b w:val="0"/>
          <w:bCs w:val="0"/>
          <w:color w:val="auto"/>
          <w:sz w:val="20"/>
          <w:szCs w:val="20"/>
        </w:rPr>
        <w:t>PCI collision can be detected by the F1-terminating IAB-donor of the mobile IAB-node.</w:t>
      </w:r>
      <w:r>
        <w:rPr>
          <w:rFonts w:hint="eastAsia" w:ascii="Times New Roman" w:hAnsi="Times New Roman" w:cs="Times New Roman"/>
          <w:b w:val="0"/>
          <w:bCs w:val="0"/>
          <w:color w:val="auto"/>
          <w:sz w:val="20"/>
          <w:szCs w:val="20"/>
          <w:lang w:val="en-US" w:eastAsia="zh-CN"/>
        </w:rPr>
        <w:t xml:space="preserve"> In addition, a</w:t>
      </w:r>
      <w:r>
        <w:rPr>
          <w:rFonts w:hint="default" w:ascii="Times New Roman" w:hAnsi="Times New Roman" w:cs="Times New Roman"/>
          <w:b w:val="0"/>
          <w:bCs w:val="0"/>
          <w:color w:val="auto"/>
          <w:sz w:val="20"/>
          <w:szCs w:val="20"/>
        </w:rPr>
        <w:t xml:space="preserve">s baseline, to avoid PCI </w:t>
      </w:r>
      <w:r>
        <w:rPr>
          <w:rFonts w:hint="eastAsia" w:ascii="Times New Roman" w:hAnsi="Times New Roman" w:cs="Times New Roman"/>
          <w:b w:val="0"/>
          <w:bCs w:val="0"/>
          <w:color w:val="auto"/>
          <w:sz w:val="20"/>
          <w:szCs w:val="20"/>
          <w:lang w:val="en-US" w:eastAsia="zh-CN"/>
        </w:rPr>
        <w:t>c</w:t>
      </w:r>
      <w:r>
        <w:rPr>
          <w:rFonts w:hint="default" w:ascii="Times New Roman" w:hAnsi="Times New Roman" w:cs="Times New Roman"/>
          <w:b w:val="0"/>
          <w:bCs w:val="0"/>
          <w:color w:val="auto"/>
          <w:sz w:val="20"/>
          <w:szCs w:val="20"/>
        </w:rPr>
        <w:t>ollision, F1-terminating IAB-donor can reconfigure PCI for the cell of mobile IAB-DU via existing F1AP message.</w:t>
      </w:r>
      <w:r>
        <w:rPr>
          <w:rFonts w:hint="eastAsia" w:ascii="Times New Roman" w:hAnsi="Times New Roman" w:cs="Times New Roman"/>
          <w:b w:val="0"/>
          <w:bCs w:val="0"/>
          <w:color w:val="auto"/>
          <w:sz w:val="20"/>
          <w:szCs w:val="20"/>
          <w:lang w:val="en-US" w:eastAsia="zh-CN"/>
        </w:rPr>
        <w:t xml:space="preserve"> </w:t>
      </w:r>
      <w:r>
        <w:rPr>
          <w:rFonts w:hint="eastAsia"/>
          <w:lang w:val="en-US" w:eastAsia="zh-CN"/>
        </w:rPr>
        <w:t xml:space="preserve">To be specific, </w:t>
      </w:r>
      <w:r>
        <w:rPr>
          <w:rFonts w:hint="eastAsia"/>
          <w:highlight w:val="none"/>
          <w:lang w:val="en-US" w:eastAsia="zh-CN"/>
        </w:rPr>
        <w:t xml:space="preserve">the donor CU should be able to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cell)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w:t>
      </w:r>
      <w:r>
        <w:rPr>
          <w:rFonts w:hint="eastAsia"/>
          <w:b w:val="0"/>
          <w:bCs w:val="0"/>
          <w:highlight w:val="none"/>
          <w:lang w:val="en-US" w:eastAsia="zh-CN"/>
        </w:rPr>
        <w:t>-</w:t>
      </w:r>
      <w:r>
        <w:rPr>
          <w:b w:val="0"/>
          <w:bCs w:val="0"/>
          <w:highlight w:val="none"/>
          <w:lang w:val="en-US" w:eastAsia="zh-CN"/>
        </w:rPr>
        <w:t>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via the F1 SETUP or </w:t>
      </w:r>
      <w:r>
        <w:rPr>
          <w:rFonts w:hint="eastAsia"/>
          <w:lang w:val="en-US" w:eastAsia="zh-CN"/>
        </w:rPr>
        <w:t>NG-RAN node CONFIGURATION UPDATE procedure</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the mobile IAB-DU has only F1 connection with F1-terminating donor CU and won</w:t>
      </w:r>
      <w:r>
        <w:rPr>
          <w:rFonts w:hint="default" w:eastAsia="等线"/>
          <w:lang w:val="en-US" w:eastAsia="zh-CN"/>
        </w:rPr>
        <w:t>’</w:t>
      </w:r>
      <w:r>
        <w:rPr>
          <w:rFonts w:hint="eastAsia" w:eastAsia="等线"/>
          <w:lang w:val="en-US" w:eastAsia="zh-CN"/>
        </w:rPr>
        <w:t xml:space="preserve">t send F1 setup request to target donor CU of mobile IAB-MT. It is doubtful how the target donor CU of mobile IAB-MT be aware of the PCI collision of mobile IAB-DU. In our opinion, this issue can be solved if there is Xn connection between the F1-terminating donor CU and target donor CU. To be specific,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once the potential collision may happen.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detects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RRCReconfiguration message with reconfigurationWithSync from source donor CU, the mobile IAB-MT deliver the new PCI configuration of mobile IAB cells to the co-located mobile IAB-DU, which will then broadcast the update of PCI via system information.  </w:t>
      </w:r>
    </w:p>
    <w:p>
      <w:pPr>
        <w:jc w:val="both"/>
        <w:rPr>
          <w:rFonts w:hint="default"/>
          <w:lang w:val="en-US" w:eastAsia="zh-CN"/>
        </w:rPr>
      </w:pPr>
      <w:r>
        <w:rPr>
          <w:rFonts w:hint="eastAsia" w:eastAsia="等线"/>
          <w:b/>
          <w:bCs/>
          <w:lang w:val="en-US" w:eastAsia="zh-CN"/>
        </w:rPr>
        <w:t>Proposal 3: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4"/>
        <w:bidi w:val="0"/>
        <w:rPr>
          <w:rFonts w:hint="eastAsia"/>
          <w:lang w:val="en-US" w:eastAsia="zh-CN"/>
        </w:rPr>
      </w:pPr>
      <w:r>
        <w:rPr>
          <w:rFonts w:hint="eastAsia"/>
          <w:lang w:val="en-US" w:eastAsia="zh-CN"/>
        </w:rPr>
        <w:t xml:space="preserve">RACH configuration </w:t>
      </w:r>
    </w:p>
    <w:p>
      <w:pPr>
        <w:jc w:val="both"/>
        <w:rPr>
          <w:rFonts w:hint="default" w:ascii="Times New Roman" w:hAnsi="Times New Roman" w:cs="Times New Roman"/>
          <w:highlight w:val="none"/>
          <w:lang w:val="en-US" w:eastAsia="zh-CN"/>
        </w:rPr>
      </w:pPr>
      <w:r>
        <w:rPr>
          <w:rFonts w:hint="default" w:ascii="Times New Roman" w:hAnsi="Times New Roman" w:eastAsia="Batang" w:cs="Times New Roman"/>
          <w:highlight w:val="none"/>
          <w:lang w:val="en-US" w:eastAsia="zh-CN"/>
        </w:rPr>
        <w:t xml:space="preserve">As we know, RAN2 has agreed that RAN2 may discuss whether there is a problem of RACH configuration collision between mobile IAB and stationary network from RAN2 perspective and/or whether RAN2 should ask RAN1 to consider RAN1-related aspects. </w:t>
      </w:r>
    </w:p>
    <w:p>
      <w:pPr>
        <w:jc w:val="both"/>
        <w:rPr>
          <w:highlight w:val="none"/>
        </w:rPr>
      </w:pPr>
      <w:r>
        <w:rPr>
          <w:rFonts w:hint="eastAsia"/>
          <w:highlight w:val="none"/>
          <w:lang w:val="en-US" w:eastAsia="zh-CN"/>
        </w:rPr>
        <w:t xml:space="preserve">According to the legacy specification, </w:t>
      </w:r>
      <w:r>
        <w:rPr>
          <w:highlight w:val="none"/>
          <w:lang w:eastAsia="zh-CN"/>
        </w:rPr>
        <w:t>RACH optimization is supported by UE reported information</w:t>
      </w:r>
      <w:r>
        <w:rPr>
          <w:rFonts w:hint="eastAsia"/>
          <w:highlight w:val="none"/>
          <w:lang w:val="en-US" w:eastAsia="zh-CN"/>
        </w:rPr>
        <w:t xml:space="preserve"> </w:t>
      </w:r>
      <w:r>
        <w:rPr>
          <w:highlight w:val="none"/>
          <w:lang w:eastAsia="zh-CN"/>
        </w:rPr>
        <w:t>made available at the NG RAN node and by PRACH parameters exchange between NG RAN nodes.</w:t>
      </w:r>
      <w:r>
        <w:rPr>
          <w:rFonts w:hint="eastAsia"/>
          <w:highlight w:val="none"/>
          <w:lang w:val="en-US" w:eastAsia="zh-CN"/>
        </w:rPr>
        <w:t xml:space="preserve"> </w:t>
      </w:r>
      <w:r>
        <w:rPr>
          <w:lang w:eastAsia="zh-CN"/>
        </w:rPr>
        <w:t>In case of split gNB architecture, RACH configuration conflict detection and resolution function is located at the gNB-</w:t>
      </w:r>
      <w:r>
        <w:rPr>
          <w:highlight w:val="none"/>
          <w:lang w:eastAsia="zh-CN"/>
        </w:rPr>
        <w:t xml:space="preserve">DU. </w:t>
      </w:r>
      <w:r>
        <w:rPr>
          <w:rFonts w:hint="eastAsia"/>
          <w:highlight w:val="none"/>
          <w:lang w:val="en-US" w:eastAsia="zh-CN"/>
        </w:rPr>
        <w:t>To be specific,</w:t>
      </w:r>
      <w:r>
        <w:rPr>
          <w:highlight w:val="none"/>
          <w:lang w:eastAsia="zh-CN"/>
        </w:rPr>
        <w:t xml:space="preserve"> </w:t>
      </w:r>
      <w:r>
        <w:rPr>
          <w:highlight w:val="none"/>
        </w:rPr>
        <w:t xml:space="preserve"> </w:t>
      </w:r>
      <w:r>
        <w:rPr>
          <w:rFonts w:hint="eastAsia"/>
          <w:highlight w:val="none"/>
          <w:lang w:val="en-US" w:eastAsia="zh-CN"/>
        </w:rPr>
        <w:t>t</w:t>
      </w:r>
      <w:r>
        <w:rPr>
          <w:highlight w:val="none"/>
          <w:lang w:eastAsia="zh-CN"/>
        </w:rPr>
        <w:t xml:space="preserve">he gNB-DU signals the PRACH configuration per-cell to gNB-CU. </w:t>
      </w:r>
      <w:r>
        <w:rPr>
          <w:rFonts w:hint="eastAsia"/>
          <w:highlight w:val="none"/>
          <w:lang w:val="en-US" w:eastAsia="zh-CN"/>
        </w:rPr>
        <w:t xml:space="preserve">The </w:t>
      </w:r>
      <w:r>
        <w:rPr>
          <w:highlight w:val="none"/>
          <w:lang w:eastAsia="zh-CN"/>
        </w:rPr>
        <w:t xml:space="preserve">gNB-CU sends the RACH report reported by the UE to gNB-DU </w:t>
      </w:r>
      <w:r>
        <w:rPr>
          <w:highlight w:val="none"/>
        </w:rPr>
        <w:t>via F1AP signalling.</w:t>
      </w:r>
      <w:r>
        <w:rPr>
          <w:rFonts w:hint="eastAsia"/>
          <w:highlight w:val="none"/>
          <w:lang w:val="en-US" w:eastAsia="zh-CN"/>
        </w:rPr>
        <w:t xml:space="preserve"> </w:t>
      </w:r>
      <w:r>
        <w:rPr>
          <w:highlight w:val="none"/>
        </w:rPr>
        <w:t xml:space="preserve">The gNB-CU may </w:t>
      </w:r>
      <w:r>
        <w:rPr>
          <w:rFonts w:hint="eastAsia"/>
          <w:highlight w:val="none"/>
          <w:lang w:val="en-US" w:eastAsia="zh-CN"/>
        </w:rPr>
        <w:t xml:space="preserve">also </w:t>
      </w:r>
      <w:r>
        <w:rPr>
          <w:highlight w:val="none"/>
        </w:rPr>
        <w:t xml:space="preserve">forward </w:t>
      </w:r>
      <w:r>
        <w:rPr>
          <w:highlight w:val="none"/>
          <w:lang w:eastAsia="zh-CN"/>
        </w:rPr>
        <w:t>a</w:t>
      </w:r>
      <w:r>
        <w:rPr>
          <w:highlight w:val="none"/>
        </w:rPr>
        <w:t xml:space="preserve"> </w:t>
      </w:r>
      <w:r>
        <w:rPr>
          <w:highlight w:val="none"/>
          <w:lang w:eastAsia="zh-CN"/>
        </w:rPr>
        <w:t xml:space="preserve">limited set of </w:t>
      </w:r>
      <w:r>
        <w:rPr>
          <w:highlight w:val="none"/>
        </w:rPr>
        <w:t>neighbour cell’s PRACH configurations receiv</w:t>
      </w:r>
      <w:r>
        <w:rPr>
          <w:highlight w:val="none"/>
          <w:lang w:eastAsia="zh-CN"/>
        </w:rPr>
        <w:t>ed</w:t>
      </w:r>
      <w:r>
        <w:rPr>
          <w:highlight w:val="none"/>
        </w:rPr>
        <w:t xml:space="preserve"> from neighbour </w:t>
      </w:r>
      <w:r>
        <w:rPr>
          <w:highlight w:val="none"/>
          <w:lang w:eastAsia="zh-CN"/>
        </w:rPr>
        <w:t>gNB-CU</w:t>
      </w:r>
      <w:r>
        <w:rPr>
          <w:highlight w:val="none"/>
        </w:rPr>
        <w:t xml:space="preserve"> to the gNB-DU</w:t>
      </w:r>
      <w:r>
        <w:rPr>
          <w:highlight w:val="none"/>
          <w:lang w:eastAsia="zh-CN"/>
        </w:rPr>
        <w:t xml:space="preserve"> to resolve the configuration conflict</w:t>
      </w:r>
      <w:r>
        <w:rPr>
          <w:highlight w:val="none"/>
        </w:rPr>
        <w:t>.</w:t>
      </w:r>
    </w:p>
    <w:p>
      <w:pPr>
        <w:jc w:val="both"/>
        <w:rPr>
          <w:rFonts w:hint="eastAsia"/>
          <w:highlight w:val="none"/>
          <w:lang w:val="en-US" w:eastAsia="zh-CN"/>
        </w:rPr>
      </w:pPr>
      <w:r>
        <w:rPr>
          <w:rFonts w:hint="eastAsia"/>
          <w:highlight w:val="none"/>
          <w:lang w:val="en-US" w:eastAsia="zh-CN"/>
        </w:rPr>
        <w:t>When it comes to the mobile IAB scenario, the RACH configuration of mobile IAB-DU</w:t>
      </w:r>
      <w:r>
        <w:rPr>
          <w:rFonts w:hint="default"/>
          <w:highlight w:val="none"/>
          <w:lang w:val="en-US" w:eastAsia="zh-CN"/>
        </w:rPr>
        <w:t>’</w:t>
      </w:r>
      <w:r>
        <w:rPr>
          <w:rFonts w:hint="eastAsia"/>
          <w:highlight w:val="none"/>
          <w:lang w:val="en-US" w:eastAsia="zh-CN"/>
        </w:rPr>
        <w:t>s cell may conflict with the neighboring non-mobile IAB cells. It is likely to reuse the existing approach to resolve the RACH configuration collision. For example, after the mobile IAB-MT handover to target donor CU and the co-located mobile IAB-DU setup the F1 connection with the target donor CU, the mobile IAB-DU may send the RACH configuration of its served cells to target donor CU. If the target donor CU detects RACH configuration conflict, target donor CU may then send the RACH configuration of neighboring cells to mobile IAB-DU, which may trigger the mobile IAB-DU not to use the conflict resource.</w:t>
      </w:r>
    </w:p>
    <w:p>
      <w:pPr>
        <w:numPr>
          <w:ilvl w:val="0"/>
          <w:numId w:val="0"/>
        </w:numPr>
        <w:jc w:val="both"/>
        <w:rPr>
          <w:rFonts w:hint="eastAsia"/>
          <w:highlight w:val="none"/>
          <w:lang w:val="en-US" w:eastAsia="zh-CN"/>
        </w:rPr>
      </w:pPr>
      <w:r>
        <w:rPr>
          <w:rFonts w:hint="eastAsia"/>
          <w:highlight w:val="none"/>
          <w:lang w:val="en-US" w:eastAsia="zh-CN"/>
        </w:rPr>
        <w:t xml:space="preserve">Moreover, it is possible for the target donor CU to reconfigure the RACH for mobile IAB-DU during the HO preparation phase of mobile IAB-MT. To be specific, the source donor CU may send the RACH configuration of mobile IAB-DU to target donor CU and target donor CU may send the updated RACH configuration of mobile IAB-DU to mobile IAB-MT via the reconfigurationwithsync message. Upon receiving such configuration, the co-located mobile IAB-DU may use the updated RACH configuration. </w:t>
      </w:r>
    </w:p>
    <w:p>
      <w:pPr>
        <w:jc w:val="both"/>
        <w:rPr>
          <w:rFonts w:hint="default"/>
          <w:lang w:val="en-US" w:eastAsia="zh-CN"/>
        </w:rPr>
      </w:pPr>
      <w:r>
        <w:rPr>
          <w:rFonts w:hint="eastAsia"/>
          <w:b/>
          <w:bCs/>
          <w:lang w:val="en-US" w:eastAsia="zh-CN"/>
        </w:rPr>
        <w:t xml:space="preserve">Proposal 4: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inter-donor migration of mobile IAB node and mitigation of interference and the potential RAN2 impact</w:t>
      </w:r>
      <w:r>
        <w:rPr>
          <w:rFonts w:hint="default" w:ascii="Times New Roman" w:hAnsi="Times New Roman" w:cs="Times New Roman"/>
          <w:lang w:val="en-US" w:eastAsia="zh-CN"/>
        </w:rPr>
        <w:t>.</w:t>
      </w:r>
      <w:r>
        <w:rPr>
          <w:rFonts w:hint="eastAsia" w:cs="Times New Roman"/>
          <w:lang w:val="en-US" w:eastAsia="zh-CN"/>
        </w:rPr>
        <w:t xml:space="preserve"> The following observation and proposals are given:</w:t>
      </w:r>
    </w:p>
    <w:p>
      <w:pPr>
        <w:overflowPunct w:val="0"/>
        <w:autoSpaceDE w:val="0"/>
        <w:autoSpaceDN w:val="0"/>
        <w:adjustRightInd w:val="0"/>
        <w:spacing w:before="156" w:beforeLines="50"/>
        <w:jc w:val="both"/>
        <w:rPr>
          <w:rFonts w:hint="default" w:cs="Times New Roman"/>
          <w:lang w:val="en-US" w:eastAsia="zh-CN"/>
        </w:rPr>
      </w:pPr>
      <w:r>
        <w:rPr>
          <w:rFonts w:hint="eastAsia" w:cs="Times New Roman"/>
          <w:lang w:val="en-US" w:eastAsia="zh-CN"/>
        </w:rPr>
        <w:t>Inter-donor migration</w:t>
      </w:r>
    </w:p>
    <w:p>
      <w:pPr>
        <w:bidi w:val="0"/>
        <w:jc w:val="both"/>
        <w:rPr>
          <w:rFonts w:hint="default"/>
          <w:b/>
          <w:bCs/>
          <w:lang w:val="en-US" w:eastAsia="zh-CN"/>
        </w:rPr>
      </w:pPr>
      <w:r>
        <w:rPr>
          <w:rFonts w:hint="eastAsia"/>
          <w:b/>
          <w:bCs/>
          <w:lang w:val="en-US" w:eastAsia="zh-CN"/>
        </w:rPr>
        <w:t xml:space="preserve">Proposal 1: The mobile IAB node is informed whether partial migration or full migration is to be executed via RRCreconfiguration message. </w:t>
      </w:r>
    </w:p>
    <w:p>
      <w:pPr>
        <w:bidi w:val="0"/>
        <w:jc w:val="both"/>
        <w:rPr>
          <w:rFonts w:hint="eastAsia"/>
          <w:b/>
          <w:bCs/>
          <w:lang w:val="en-US" w:eastAsia="zh-CN"/>
        </w:rPr>
      </w:pPr>
      <w:r>
        <w:rPr>
          <w:rFonts w:hint="eastAsia"/>
          <w:b/>
          <w:bCs/>
          <w:lang w:val="en-US" w:eastAsia="zh-CN"/>
        </w:rPr>
        <w:t>Observation 1: For CHO or delayed RRC configure, F1 connection between the target logical DU and the target donor needs to be established before MT migration, i.e. DU migration is performed before MT migration.</w:t>
      </w:r>
    </w:p>
    <w:p>
      <w:pPr>
        <w:bidi w:val="0"/>
        <w:jc w:val="both"/>
        <w:rPr>
          <w:rFonts w:hint="default"/>
          <w:b/>
          <w:bCs/>
          <w:lang w:val="en-US" w:eastAsia="zh-CN"/>
        </w:rPr>
      </w:pPr>
      <w:r>
        <w:rPr>
          <w:rFonts w:hint="eastAsia"/>
          <w:b/>
          <w:bCs/>
          <w:lang w:val="en-US" w:eastAsia="zh-CN"/>
        </w:rPr>
        <w:t xml:space="preserve">Observation 2: RAN3 has no conclusion on whether DU migration before MT migration is to be supported in R18 yet. So the scenario and benefit of supporting CHO or delayed RRC configuration needs to be clarified first. </w:t>
      </w:r>
    </w:p>
    <w:p>
      <w:pPr>
        <w:bidi w:val="0"/>
        <w:jc w:val="both"/>
        <w:rPr>
          <w:rFonts w:hint="eastAsia"/>
          <w:b/>
          <w:bCs/>
          <w:lang w:val="en-US" w:eastAsia="zh-CN"/>
        </w:rPr>
      </w:pPr>
      <w:r>
        <w:rPr>
          <w:rFonts w:hint="eastAsia"/>
          <w:b/>
          <w:bCs/>
          <w:lang w:val="en-US" w:eastAsia="zh-CN"/>
        </w:rPr>
        <w:t xml:space="preserve">Proposal 2: If DU migration before MT migration is to be supported, the migration sequence (i.e. MT migration first or DU migration first) needs to be indicated to the mobile IAB-MT if full migration is to be executed. </w:t>
      </w:r>
    </w:p>
    <w:p>
      <w:pPr>
        <w:bidi w:val="0"/>
        <w:jc w:val="both"/>
        <w:rPr>
          <w:rFonts w:hint="default"/>
          <w:b/>
          <w:bCs/>
          <w:lang w:val="en-US" w:eastAsia="zh-CN"/>
        </w:rPr>
      </w:pPr>
      <w:r>
        <w:rPr>
          <w:rFonts w:hint="eastAsia"/>
          <w:b/>
          <w:bCs/>
          <w:lang w:val="en-US" w:eastAsia="zh-CN"/>
        </w:rPr>
        <w:t xml:space="preserve">Observation 3: If different carriers are used in the two logical DU cells, same or different PCIs could be used in the two logical DU cells. If the same carrier is used in the two logical DU cells, different PCIs shall be used in the two logical DU cells. </w:t>
      </w:r>
    </w:p>
    <w:p>
      <w:pPr>
        <w:bidi w:val="0"/>
        <w:rPr>
          <w:rFonts w:hint="default"/>
          <w:lang w:val="en-US" w:eastAsia="zh-CN"/>
        </w:rPr>
      </w:pPr>
      <w:r>
        <w:t>Mitigation of interference</w:t>
      </w:r>
    </w:p>
    <w:p>
      <w:pPr>
        <w:jc w:val="both"/>
        <w:rPr>
          <w:rFonts w:hint="default"/>
          <w:lang w:val="en-US" w:eastAsia="zh-CN"/>
        </w:rPr>
      </w:pPr>
      <w:r>
        <w:rPr>
          <w:rFonts w:hint="eastAsia" w:eastAsia="等线"/>
          <w:b/>
          <w:bCs/>
          <w:lang w:val="en-US" w:eastAsia="zh-CN"/>
        </w:rPr>
        <w:t>Proposal 3: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jc w:val="both"/>
        <w:rPr>
          <w:rFonts w:hint="default"/>
          <w:lang w:val="en-US" w:eastAsia="zh-CN"/>
        </w:rPr>
      </w:pPr>
      <w:r>
        <w:rPr>
          <w:rFonts w:hint="eastAsia"/>
          <w:b/>
          <w:bCs/>
          <w:lang w:val="en-US" w:eastAsia="zh-CN"/>
        </w:rPr>
        <w:t xml:space="preserve">Proposal 4: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2"/>
        <w:rPr>
          <w:rFonts w:hint="default" w:eastAsia="宋体"/>
          <w:lang w:val="en-US" w:eastAsia="zh-CN"/>
        </w:rPr>
      </w:pPr>
      <w:r>
        <w:rPr>
          <w:rFonts w:hint="eastAsia" w:eastAsia="宋体"/>
          <w:lang w:eastAsia="zh-CN"/>
        </w:rPr>
        <w:t>Reference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1"/>
  </w:num>
  <w:num w:numId="9">
    <w:abstractNumId w:val="1"/>
  </w:num>
  <w:num w:numId="10">
    <w:abstractNumId w:val="1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77D0D"/>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64F06"/>
    <w:rsid w:val="02674F36"/>
    <w:rsid w:val="026D607F"/>
    <w:rsid w:val="026F5973"/>
    <w:rsid w:val="027B1D57"/>
    <w:rsid w:val="027F793D"/>
    <w:rsid w:val="02865A1B"/>
    <w:rsid w:val="028B2766"/>
    <w:rsid w:val="028C3C3A"/>
    <w:rsid w:val="029358D7"/>
    <w:rsid w:val="029E07FE"/>
    <w:rsid w:val="02B5652D"/>
    <w:rsid w:val="02CB0E0D"/>
    <w:rsid w:val="02D8526C"/>
    <w:rsid w:val="02EB38B9"/>
    <w:rsid w:val="02EE0E74"/>
    <w:rsid w:val="02F22456"/>
    <w:rsid w:val="02FF2AF2"/>
    <w:rsid w:val="030026D0"/>
    <w:rsid w:val="0300644B"/>
    <w:rsid w:val="03024BFE"/>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7A006B"/>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F1590"/>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E33AC"/>
    <w:rsid w:val="12EF6841"/>
    <w:rsid w:val="12F571E9"/>
    <w:rsid w:val="13080271"/>
    <w:rsid w:val="1311514F"/>
    <w:rsid w:val="13204F53"/>
    <w:rsid w:val="13277783"/>
    <w:rsid w:val="132E5326"/>
    <w:rsid w:val="13306369"/>
    <w:rsid w:val="13520346"/>
    <w:rsid w:val="13567063"/>
    <w:rsid w:val="136233F0"/>
    <w:rsid w:val="136A2834"/>
    <w:rsid w:val="136E7FD4"/>
    <w:rsid w:val="13776D0E"/>
    <w:rsid w:val="1385132C"/>
    <w:rsid w:val="139216DF"/>
    <w:rsid w:val="13926BE1"/>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8264E"/>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435FC"/>
    <w:rsid w:val="14F45292"/>
    <w:rsid w:val="14F4722B"/>
    <w:rsid w:val="14F65C86"/>
    <w:rsid w:val="14F70046"/>
    <w:rsid w:val="14F76726"/>
    <w:rsid w:val="14FB45CA"/>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EF4181"/>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65E45"/>
    <w:rsid w:val="19F756C5"/>
    <w:rsid w:val="1A0301A3"/>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47D45"/>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96021"/>
    <w:rsid w:val="1E4C0986"/>
    <w:rsid w:val="1E5752A2"/>
    <w:rsid w:val="1E5D25FB"/>
    <w:rsid w:val="1E6471BC"/>
    <w:rsid w:val="1E76494F"/>
    <w:rsid w:val="1E906FE9"/>
    <w:rsid w:val="1E94288A"/>
    <w:rsid w:val="1EA40027"/>
    <w:rsid w:val="1EB50B50"/>
    <w:rsid w:val="1EBA31B8"/>
    <w:rsid w:val="1EBD6AFE"/>
    <w:rsid w:val="1EC24C3E"/>
    <w:rsid w:val="1ECD43D6"/>
    <w:rsid w:val="1EDE2EB1"/>
    <w:rsid w:val="1EED2FB4"/>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C3197"/>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B76EC"/>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27FA"/>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F45DF"/>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0C62BC"/>
    <w:rsid w:val="2C100C68"/>
    <w:rsid w:val="2C1B19CF"/>
    <w:rsid w:val="2C2F2AC9"/>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84D5E"/>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D5C5A"/>
    <w:rsid w:val="341E5ABB"/>
    <w:rsid w:val="342330D5"/>
    <w:rsid w:val="34294D0B"/>
    <w:rsid w:val="342C34CE"/>
    <w:rsid w:val="342C3E32"/>
    <w:rsid w:val="342F548A"/>
    <w:rsid w:val="34360D07"/>
    <w:rsid w:val="343867BA"/>
    <w:rsid w:val="34520356"/>
    <w:rsid w:val="345205B0"/>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34C98"/>
    <w:rsid w:val="35EC0EA5"/>
    <w:rsid w:val="35EC4BB5"/>
    <w:rsid w:val="35F607C1"/>
    <w:rsid w:val="35F70CA7"/>
    <w:rsid w:val="360457CD"/>
    <w:rsid w:val="360C48D4"/>
    <w:rsid w:val="3614666F"/>
    <w:rsid w:val="36166644"/>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62B43"/>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F810D4"/>
    <w:rsid w:val="3CF878B5"/>
    <w:rsid w:val="3CFA31FE"/>
    <w:rsid w:val="3D1665CB"/>
    <w:rsid w:val="3D1D0816"/>
    <w:rsid w:val="3D1F05EA"/>
    <w:rsid w:val="3D2820F7"/>
    <w:rsid w:val="3D292B9B"/>
    <w:rsid w:val="3D362589"/>
    <w:rsid w:val="3D3B7E48"/>
    <w:rsid w:val="3D4A4187"/>
    <w:rsid w:val="3D5331A4"/>
    <w:rsid w:val="3D6515EC"/>
    <w:rsid w:val="3D757BFC"/>
    <w:rsid w:val="3D78217F"/>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7619E"/>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9E300F"/>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9A0DBF"/>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F17B3E"/>
    <w:rsid w:val="43F52B50"/>
    <w:rsid w:val="440241BD"/>
    <w:rsid w:val="44114BC2"/>
    <w:rsid w:val="444353A3"/>
    <w:rsid w:val="44455FAC"/>
    <w:rsid w:val="444855E4"/>
    <w:rsid w:val="4448573B"/>
    <w:rsid w:val="445B0912"/>
    <w:rsid w:val="44682BB3"/>
    <w:rsid w:val="446B24E6"/>
    <w:rsid w:val="44764BC2"/>
    <w:rsid w:val="447B36F1"/>
    <w:rsid w:val="448306EE"/>
    <w:rsid w:val="44857EF6"/>
    <w:rsid w:val="4491669D"/>
    <w:rsid w:val="449562D2"/>
    <w:rsid w:val="44980F16"/>
    <w:rsid w:val="44A62B2F"/>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14269"/>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85071"/>
    <w:rsid w:val="471F1214"/>
    <w:rsid w:val="472C4A36"/>
    <w:rsid w:val="472C799C"/>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14D10"/>
    <w:rsid w:val="47AC37A8"/>
    <w:rsid w:val="47B4392A"/>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527EF"/>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AF0E62"/>
    <w:rsid w:val="49CF34DB"/>
    <w:rsid w:val="49EC5752"/>
    <w:rsid w:val="49FA1131"/>
    <w:rsid w:val="4A117D4D"/>
    <w:rsid w:val="4A1A0CF9"/>
    <w:rsid w:val="4A1C0557"/>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43213"/>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43B4D"/>
    <w:rsid w:val="4C18788C"/>
    <w:rsid w:val="4C321FEE"/>
    <w:rsid w:val="4C4A4648"/>
    <w:rsid w:val="4C531AD9"/>
    <w:rsid w:val="4C5A5942"/>
    <w:rsid w:val="4C6657AD"/>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05E2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A61FA"/>
    <w:rsid w:val="555B790A"/>
    <w:rsid w:val="555E07E4"/>
    <w:rsid w:val="556703ED"/>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73EED"/>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80223A6"/>
    <w:rsid w:val="581113AC"/>
    <w:rsid w:val="5815798C"/>
    <w:rsid w:val="58194C0A"/>
    <w:rsid w:val="581D2583"/>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022E1"/>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57322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6F4DA2"/>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54A9B"/>
    <w:rsid w:val="5F376BC0"/>
    <w:rsid w:val="5F391735"/>
    <w:rsid w:val="5F3A1804"/>
    <w:rsid w:val="5F453884"/>
    <w:rsid w:val="5F4B2A33"/>
    <w:rsid w:val="5F5A7AC1"/>
    <w:rsid w:val="5F6415CB"/>
    <w:rsid w:val="5F6A47BE"/>
    <w:rsid w:val="5F705602"/>
    <w:rsid w:val="5F725126"/>
    <w:rsid w:val="5F79008D"/>
    <w:rsid w:val="5F791D2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E4014F"/>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AF7A4F"/>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DA37D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90F3A"/>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EA3704"/>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C53822"/>
    <w:rsid w:val="6DCD2C41"/>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A661EC"/>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0FE5D03"/>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027B6"/>
    <w:rsid w:val="72516C3F"/>
    <w:rsid w:val="7258546A"/>
    <w:rsid w:val="726151CF"/>
    <w:rsid w:val="726169B9"/>
    <w:rsid w:val="726175A4"/>
    <w:rsid w:val="72622446"/>
    <w:rsid w:val="7264039B"/>
    <w:rsid w:val="72750113"/>
    <w:rsid w:val="72781644"/>
    <w:rsid w:val="727B4142"/>
    <w:rsid w:val="727D691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A0BB4"/>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918E5"/>
    <w:rsid w:val="7A9D6337"/>
    <w:rsid w:val="7AA00320"/>
    <w:rsid w:val="7AA33F9C"/>
    <w:rsid w:val="7AA34E89"/>
    <w:rsid w:val="7AA444FF"/>
    <w:rsid w:val="7AA924EB"/>
    <w:rsid w:val="7AAE73F4"/>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A02A08"/>
    <w:rsid w:val="7CAF279A"/>
    <w:rsid w:val="7CB62F86"/>
    <w:rsid w:val="7CC70CCA"/>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32410"/>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2022-11-08T01:33:29Z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